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50D0E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0F328BDC" w14:textId="77777777" w:rsidR="00A500B2" w:rsidRDefault="00A500B2" w:rsidP="00DE160B">
      <w:pPr>
        <w:jc w:val="right"/>
        <w:rPr>
          <w:b/>
          <w:sz w:val="32"/>
          <w:szCs w:val="3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A500B2" w14:paraId="36A579C1" w14:textId="77777777" w:rsidTr="007D794E">
        <w:trPr>
          <w:jc w:val="center"/>
        </w:trPr>
        <w:tc>
          <w:tcPr>
            <w:tcW w:w="9062" w:type="dxa"/>
          </w:tcPr>
          <w:p w14:paraId="212C2C20" w14:textId="77777777" w:rsidR="00A500B2" w:rsidRPr="00B44AB5" w:rsidRDefault="00A500B2" w:rsidP="007D794E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545E0">
              <w:rPr>
                <w:b/>
                <w:sz w:val="44"/>
                <w:szCs w:val="44"/>
              </w:rPr>
              <w:t>BREST sites extérieurs</w:t>
            </w:r>
          </w:p>
        </w:tc>
      </w:tr>
      <w:tr w:rsidR="00A500B2" w14:paraId="22A54F76" w14:textId="77777777" w:rsidTr="007D794E">
        <w:trPr>
          <w:jc w:val="center"/>
        </w:trPr>
        <w:tc>
          <w:tcPr>
            <w:tcW w:w="9062" w:type="dxa"/>
          </w:tcPr>
          <w:p w14:paraId="053CA873" w14:textId="77777777" w:rsidR="00A500B2" w:rsidRPr="00B44AB5" w:rsidRDefault="00A500B2" w:rsidP="007D794E">
            <w:pPr>
              <w:spacing w:before="240" w:after="240"/>
              <w:jc w:val="center"/>
              <w:rPr>
                <w:b/>
                <w:sz w:val="44"/>
                <w:szCs w:val="44"/>
                <w:u w:val="single"/>
              </w:rPr>
            </w:pPr>
            <w:r w:rsidRPr="00B44AB5">
              <w:rPr>
                <w:b/>
                <w:sz w:val="44"/>
                <w:szCs w:val="44"/>
                <w:u w:val="single"/>
              </w:rPr>
              <w:t>Objet du marché :</w:t>
            </w:r>
          </w:p>
          <w:p w14:paraId="0316F443" w14:textId="77777777" w:rsidR="00A500B2" w:rsidRPr="00B44AB5" w:rsidRDefault="00A500B2" w:rsidP="007D794E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44AB5">
              <w:rPr>
                <w:b/>
                <w:sz w:val="44"/>
                <w:szCs w:val="44"/>
              </w:rPr>
              <w:t>Marché d’exploitation et de maintenance multi techniques</w:t>
            </w:r>
          </w:p>
        </w:tc>
      </w:tr>
      <w:tr w:rsidR="00A500B2" w:rsidRPr="00285769" w14:paraId="297166C4" w14:textId="77777777" w:rsidTr="007D794E">
        <w:trPr>
          <w:jc w:val="center"/>
        </w:trPr>
        <w:tc>
          <w:tcPr>
            <w:tcW w:w="9062" w:type="dxa"/>
          </w:tcPr>
          <w:p w14:paraId="3AE62049" w14:textId="77777777" w:rsidR="00A500B2" w:rsidRPr="00B44AB5" w:rsidRDefault="00A500B2" w:rsidP="007D794E">
            <w:pPr>
              <w:spacing w:before="240" w:after="240"/>
              <w:jc w:val="center"/>
              <w:rPr>
                <w:b/>
                <w:sz w:val="40"/>
                <w:szCs w:val="40"/>
              </w:rPr>
            </w:pPr>
            <w:r w:rsidRPr="00B44AB5">
              <w:rPr>
                <w:b/>
                <w:sz w:val="40"/>
                <w:szCs w:val="40"/>
              </w:rPr>
              <w:t>Cahier des Clauses Techniques Particulières</w:t>
            </w:r>
          </w:p>
        </w:tc>
      </w:tr>
      <w:tr w:rsidR="00A500B2" w:rsidRPr="00285769" w14:paraId="14D7205C" w14:textId="77777777" w:rsidTr="007D794E">
        <w:trPr>
          <w:jc w:val="center"/>
        </w:trPr>
        <w:tc>
          <w:tcPr>
            <w:tcW w:w="9062" w:type="dxa"/>
          </w:tcPr>
          <w:p w14:paraId="7E80234C" w14:textId="1316132C" w:rsidR="00A500B2" w:rsidRPr="00D62F47" w:rsidRDefault="00A500B2" w:rsidP="00A500B2">
            <w:pPr>
              <w:pStyle w:val="Titre1"/>
              <w:outlineLvl w:val="0"/>
              <w:rPr>
                <w:color w:val="000000" w:themeColor="text1"/>
              </w:rPr>
            </w:pPr>
            <w:bookmarkStart w:id="0" w:name="_Toc161318613"/>
            <w:bookmarkStart w:id="1" w:name="_Toc161318760"/>
            <w:bookmarkStart w:id="2" w:name="_Toc161320685"/>
            <w:bookmarkStart w:id="3" w:name="_Toc191052276"/>
            <w:r w:rsidRPr="00C43031">
              <w:rPr>
                <w:color w:val="31849B"/>
              </w:rPr>
              <w:t xml:space="preserve">Section technique 02.4 – </w:t>
            </w:r>
            <w:bookmarkEnd w:id="0"/>
            <w:bookmarkEnd w:id="1"/>
            <w:bookmarkEnd w:id="2"/>
            <w:bookmarkEnd w:id="3"/>
            <w:r w:rsidRPr="00C43031">
              <w:rPr>
                <w:color w:val="31849B"/>
              </w:rPr>
              <w:t>Eau chaude sanitaire</w:t>
            </w:r>
            <w:r w:rsidR="0035033A">
              <w:rPr>
                <w:color w:val="31849B"/>
              </w:rPr>
              <w:t xml:space="preserve"> et eau froide</w:t>
            </w:r>
          </w:p>
        </w:tc>
      </w:tr>
    </w:tbl>
    <w:p w14:paraId="1C0125BE" w14:textId="77777777" w:rsidR="00A500B2" w:rsidRDefault="00A500B2" w:rsidP="00A500B2">
      <w:pPr>
        <w:rPr>
          <w:b/>
          <w:sz w:val="32"/>
          <w:szCs w:val="32"/>
        </w:rPr>
      </w:pPr>
    </w:p>
    <w:p w14:paraId="7311A5F7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0718DA90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5F857418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1DC395E3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7359DEC8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59C49D22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66CD1291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644E301F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2699013C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56D12AD2" w14:textId="77777777" w:rsidR="00A500B2" w:rsidRDefault="00A500B2" w:rsidP="00DE160B">
      <w:pPr>
        <w:jc w:val="right"/>
        <w:rPr>
          <w:b/>
          <w:sz w:val="32"/>
          <w:szCs w:val="32"/>
        </w:rPr>
      </w:pPr>
    </w:p>
    <w:p w14:paraId="316493D4" w14:textId="77777777" w:rsidR="00A500B2" w:rsidRDefault="00A500B2" w:rsidP="00D22BF5">
      <w:pPr>
        <w:rPr>
          <w:b/>
          <w:sz w:val="32"/>
          <w:szCs w:val="32"/>
        </w:rPr>
      </w:pPr>
    </w:p>
    <w:p w14:paraId="7A88082D" w14:textId="77777777" w:rsidR="00DE160B" w:rsidRPr="00F03271" w:rsidRDefault="00DE160B" w:rsidP="00DE160B">
      <w:pPr>
        <w:shd w:val="clear" w:color="auto" w:fill="EEECE1"/>
        <w:rPr>
          <w:rFonts w:ascii="Calibri" w:hAnsi="Calibri"/>
          <w:b/>
        </w:rPr>
      </w:pPr>
      <w:r w:rsidRPr="0072056D">
        <w:rPr>
          <w:rFonts w:ascii="Calibri" w:hAnsi="Calibri"/>
          <w:b/>
        </w:rPr>
        <w:lastRenderedPageBreak/>
        <w:t xml:space="preserve">1. </w:t>
      </w:r>
      <w:r w:rsidRPr="0072056D">
        <w:rPr>
          <w:rFonts w:ascii="Calibri" w:hAnsi="Calibri"/>
          <w:b/>
        </w:rPr>
        <w:tab/>
      </w:r>
      <w:r w:rsidRPr="00CB0B1E">
        <w:rPr>
          <w:rFonts w:ascii="Calibri" w:hAnsi="Calibri"/>
          <w:b/>
        </w:rPr>
        <w:t>TEXTES ET DOCUMENTS DE REFERENCE</w:t>
      </w:r>
    </w:p>
    <w:p w14:paraId="4FAE9039" w14:textId="77777777" w:rsidR="00DE160B" w:rsidRDefault="00DE160B" w:rsidP="00DE160B">
      <w:pPr>
        <w:pStyle w:val="Corpsdetexte"/>
        <w:rPr>
          <w:rFonts w:ascii="Calibri" w:hAnsi="Calibri"/>
          <w:sz w:val="22"/>
          <w:szCs w:val="22"/>
        </w:rPr>
      </w:pPr>
    </w:p>
    <w:p w14:paraId="76DFA781" w14:textId="77777777" w:rsidR="00DE160B" w:rsidRPr="001C181D" w:rsidRDefault="00DE160B" w:rsidP="00DE160B">
      <w:pPr>
        <w:pStyle w:val="Corpsdetexte"/>
        <w:rPr>
          <w:rFonts w:ascii="Calibri" w:hAnsi="Calibri"/>
          <w:sz w:val="22"/>
          <w:szCs w:val="22"/>
        </w:rPr>
      </w:pPr>
      <w:r w:rsidRPr="001C181D">
        <w:rPr>
          <w:rFonts w:ascii="Calibri" w:hAnsi="Calibri"/>
          <w:sz w:val="22"/>
          <w:szCs w:val="22"/>
        </w:rPr>
        <w:t xml:space="preserve">Le titulaire réalise les prestations selon les </w:t>
      </w:r>
      <w:r w:rsidRPr="001C181D">
        <w:rPr>
          <w:rFonts w:ascii="Calibri" w:hAnsi="Calibri" w:cs="Calibri"/>
          <w:sz w:val="22"/>
          <w:szCs w:val="22"/>
        </w:rPr>
        <w:t xml:space="preserve">normes, lois, décrets, arrêtés, circulaires et instructions ministériels, préfectoraux, communaux en vigueur et non cités. </w:t>
      </w:r>
    </w:p>
    <w:p w14:paraId="7D2A0708" w14:textId="77777777" w:rsidR="00DE160B" w:rsidRDefault="00DE160B" w:rsidP="00DE160B">
      <w:pPr>
        <w:pStyle w:val="Corpsdetexte"/>
        <w:rPr>
          <w:rFonts w:ascii="Calibri" w:hAnsi="Calibri"/>
          <w:bCs/>
          <w:sz w:val="22"/>
          <w:szCs w:val="22"/>
        </w:rPr>
      </w:pPr>
      <w:r w:rsidRPr="001C181D">
        <w:rPr>
          <w:rFonts w:ascii="Calibri" w:hAnsi="Calibri"/>
          <w:bCs/>
          <w:sz w:val="22"/>
          <w:szCs w:val="22"/>
        </w:rPr>
        <w:t>La présente spécification constitue la partie technique de la prestation, pour les autres aspects il convient de se reporter au CCTP, auquel elle est rattachée et indissociable.</w:t>
      </w:r>
    </w:p>
    <w:p w14:paraId="505CB1D2" w14:textId="77777777" w:rsidR="00026D1A" w:rsidRDefault="00026D1A"/>
    <w:p w14:paraId="0F1E9F22" w14:textId="77777777" w:rsidR="00DE160B" w:rsidRDefault="00DE160B" w:rsidP="00DE160B">
      <w:pPr>
        <w:pStyle w:val="Style1"/>
        <w:numPr>
          <w:ilvl w:val="0"/>
          <w:numId w:val="2"/>
        </w:numPr>
      </w:pPr>
      <w:r w:rsidRPr="00942502">
        <w:t>N</w:t>
      </w:r>
      <w:r>
        <w:t>orme NF P41-452, NF EN 12897 de septembre 2016</w:t>
      </w:r>
      <w:r w:rsidRPr="00942502">
        <w:t>. Alimentation en eau</w:t>
      </w:r>
      <w:r>
        <w:t xml:space="preserve">. </w:t>
      </w:r>
      <w:r w:rsidRPr="00942502">
        <w:t>Prescriptions pour</w:t>
      </w:r>
      <w:r>
        <w:t xml:space="preserve"> préparateurs d’eau chaude par accumulation à chauffage indirect non ouverts à l’air libre (fermés) – Alimentation en eau – Prescriptions pour</w:t>
      </w:r>
      <w:r w:rsidRPr="00942502">
        <w:t xml:space="preserve"> réservoirs de stockage</w:t>
      </w:r>
      <w:r>
        <w:t xml:space="preserve"> </w:t>
      </w:r>
      <w:r w:rsidRPr="00942502">
        <w:t>d'eau chaude à chauffage indirect</w:t>
      </w:r>
      <w:r>
        <w:t xml:space="preserve"> </w:t>
      </w:r>
      <w:r w:rsidRPr="00942502">
        <w:t>sans mise à l'air libre (fermés)</w:t>
      </w:r>
      <w:r>
        <w:t>.</w:t>
      </w:r>
    </w:p>
    <w:p w14:paraId="24CB86A9" w14:textId="77777777" w:rsidR="00DE160B" w:rsidRDefault="00DE160B" w:rsidP="00DE160B">
      <w:pPr>
        <w:pStyle w:val="Style1"/>
        <w:numPr>
          <w:ilvl w:val="0"/>
          <w:numId w:val="2"/>
        </w:numPr>
      </w:pPr>
      <w:r>
        <w:t>Circulaire DGS / PGE / 1.D n° 593 du 10 avril 1987 relative à la protection sanitaire de distribution d’eau destinée à la consommation humaine.</w:t>
      </w:r>
    </w:p>
    <w:p w14:paraId="2EF9DAC9" w14:textId="77777777" w:rsidR="00DE160B" w:rsidRDefault="00DE160B" w:rsidP="00DE160B">
      <w:pPr>
        <w:pStyle w:val="Style1"/>
        <w:numPr>
          <w:ilvl w:val="0"/>
          <w:numId w:val="2"/>
        </w:numPr>
      </w:pPr>
      <w:r>
        <w:t>NF C 15100 – Installations électriques.</w:t>
      </w:r>
    </w:p>
    <w:p w14:paraId="424B1F3F" w14:textId="77777777" w:rsidR="00DE160B" w:rsidRDefault="00DE160B" w:rsidP="00DE160B">
      <w:pPr>
        <w:pStyle w:val="Style1"/>
        <w:numPr>
          <w:ilvl w:val="0"/>
          <w:numId w:val="2"/>
        </w:numPr>
      </w:pPr>
      <w:r w:rsidRPr="00B1735C">
        <w:t>Arrêté du 1er février 2010 relatif à la surveillance des légionnelles dans les</w:t>
      </w:r>
      <w:r>
        <w:t xml:space="preserve"> </w:t>
      </w:r>
      <w:r w:rsidRPr="00B1735C">
        <w:t>installations de production, de stockage et de distribution d’eau chaude sanitaire</w:t>
      </w:r>
    </w:p>
    <w:p w14:paraId="56FA7FA3" w14:textId="77777777" w:rsidR="00DE160B" w:rsidRDefault="00DE160B" w:rsidP="00DE160B">
      <w:pPr>
        <w:pStyle w:val="Style1"/>
        <w:numPr>
          <w:ilvl w:val="0"/>
          <w:numId w:val="2"/>
        </w:numPr>
      </w:pPr>
      <w:r w:rsidRPr="00B1735C">
        <w:t>Arrêté du 23 juin 1978, modifi</w:t>
      </w:r>
      <w:r>
        <w:t>é</w:t>
      </w:r>
      <w:r w:rsidRPr="00B1735C">
        <w:t xml:space="preserve"> par l</w:t>
      </w:r>
      <w:r w:rsidRPr="00B1735C">
        <w:rPr>
          <w:rFonts w:hint="eastAsia"/>
        </w:rPr>
        <w:t>’</w:t>
      </w:r>
      <w:r w:rsidRPr="00B1735C">
        <w:t>arrêté du 30 novembre 2005, relatif aux</w:t>
      </w:r>
      <w:r>
        <w:t xml:space="preserve"> </w:t>
      </w:r>
      <w:r w:rsidRPr="00B1735C">
        <w:t>installations fixes destinées au chauffage et à l</w:t>
      </w:r>
      <w:r w:rsidRPr="00B1735C">
        <w:rPr>
          <w:rFonts w:hint="eastAsia"/>
        </w:rPr>
        <w:t>’</w:t>
      </w:r>
      <w:r w:rsidRPr="00B1735C">
        <w:t>alimentation en eau chaude sanitaire des</w:t>
      </w:r>
      <w:r>
        <w:t xml:space="preserve"> </w:t>
      </w:r>
      <w:r w:rsidRPr="00B1735C">
        <w:t>bâtiments d</w:t>
      </w:r>
      <w:r w:rsidRPr="00B1735C">
        <w:rPr>
          <w:rFonts w:hint="eastAsia"/>
        </w:rPr>
        <w:t>’</w:t>
      </w:r>
      <w:r w:rsidRPr="00B1735C">
        <w:t>habitation, des locaux de travail ou des locaux recevant du public</w:t>
      </w:r>
      <w:r>
        <w:t>.</w:t>
      </w:r>
    </w:p>
    <w:p w14:paraId="62FF828E" w14:textId="77777777" w:rsidR="00DE160B" w:rsidRDefault="00DE160B" w:rsidP="00DE160B">
      <w:pPr>
        <w:pStyle w:val="Style1"/>
        <w:numPr>
          <w:ilvl w:val="0"/>
          <w:numId w:val="2"/>
        </w:numPr>
      </w:pPr>
      <w:r>
        <w:t>DTU 60.1 – Plomberie sanitaire pour bâtiments.</w:t>
      </w:r>
    </w:p>
    <w:p w14:paraId="7F406277" w14:textId="77777777" w:rsidR="00DE160B" w:rsidRPr="00942502" w:rsidRDefault="00DE160B" w:rsidP="00DE160B">
      <w:pPr>
        <w:pStyle w:val="Style1"/>
        <w:numPr>
          <w:ilvl w:val="0"/>
          <w:numId w:val="2"/>
        </w:numPr>
      </w:pPr>
      <w:r w:rsidRPr="00392BB9">
        <w:t>Normes, lois, décrets, arrêtés, circulaires et instructions ministériels, préfectoraux, communaux en</w:t>
      </w:r>
      <w:r>
        <w:t xml:space="preserve"> </w:t>
      </w:r>
      <w:r w:rsidRPr="00392BB9">
        <w:t>vigueur et non cités. Les textes auxquels les documents précédents font référence et les textes d’application qui en découlent</w:t>
      </w:r>
      <w:r>
        <w:t>.</w:t>
      </w:r>
    </w:p>
    <w:p w14:paraId="640E6A1C" w14:textId="77777777" w:rsidR="00DE160B" w:rsidRDefault="00DE160B"/>
    <w:p w14:paraId="1809B02E" w14:textId="77777777" w:rsidR="00DE160B" w:rsidRPr="00CB0B1E" w:rsidRDefault="00DE160B" w:rsidP="00DE160B">
      <w:pPr>
        <w:shd w:val="clear" w:color="auto" w:fill="EEECE1"/>
        <w:rPr>
          <w:rFonts w:ascii="Calibri" w:hAnsi="Calibri"/>
          <w:b/>
        </w:rPr>
      </w:pPr>
      <w:r w:rsidRPr="00CB0B1E">
        <w:rPr>
          <w:rFonts w:ascii="Calibri" w:hAnsi="Calibri"/>
          <w:b/>
        </w:rPr>
        <w:t xml:space="preserve">2. </w:t>
      </w:r>
      <w:r w:rsidRPr="00CB0B1E">
        <w:rPr>
          <w:rFonts w:ascii="Calibri" w:hAnsi="Calibri"/>
          <w:b/>
        </w:rPr>
        <w:tab/>
        <w:t>MATERIELS CONCERNES</w:t>
      </w:r>
    </w:p>
    <w:p w14:paraId="46B89FCA" w14:textId="77777777" w:rsidR="00DE160B" w:rsidRDefault="00DE160B" w:rsidP="00DE160B">
      <w:pPr>
        <w:jc w:val="both"/>
        <w:rPr>
          <w:rFonts w:ascii="Calibri" w:hAnsi="Calibri"/>
        </w:rPr>
      </w:pPr>
      <w:r w:rsidRPr="00CD4B38">
        <w:rPr>
          <w:rFonts w:ascii="Calibri" w:hAnsi="Calibri"/>
        </w:rPr>
        <w:t>Pour tous</w:t>
      </w:r>
      <w:r>
        <w:rPr>
          <w:rFonts w:ascii="Calibri" w:hAnsi="Calibri"/>
        </w:rPr>
        <w:t xml:space="preserve"> les bâtiments ou locaux dans le périmètre du marché</w:t>
      </w:r>
      <w:r w:rsidRPr="00CD4B38">
        <w:rPr>
          <w:rFonts w:ascii="Calibri" w:hAnsi="Calibri"/>
        </w:rPr>
        <w:t>, les installations concernées sont composées</w:t>
      </w:r>
      <w:r>
        <w:rPr>
          <w:rFonts w:ascii="Calibri" w:hAnsi="Calibri"/>
        </w:rPr>
        <w:t xml:space="preserve"> (</w:t>
      </w:r>
      <w:proofErr w:type="spellStart"/>
      <w:r>
        <w:t>Cf</w:t>
      </w:r>
      <w:proofErr w:type="spellEnd"/>
      <w:r>
        <w:t xml:space="preserve"> CAT 02.04)</w:t>
      </w:r>
      <w:r w:rsidRPr="00CD4B38">
        <w:rPr>
          <w:rFonts w:ascii="Calibri" w:hAnsi="Calibri"/>
        </w:rPr>
        <w:t> :</w:t>
      </w:r>
    </w:p>
    <w:p w14:paraId="33D6E25F" w14:textId="77777777" w:rsidR="00DE160B" w:rsidRDefault="00DE160B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commentRangeStart w:id="4"/>
      <w:commentRangeStart w:id="5"/>
      <w:r>
        <w:rPr>
          <w:rFonts w:ascii="Calibri" w:hAnsi="Calibri"/>
        </w:rPr>
        <w:t>Des ballons d’eau chaude électrique</w:t>
      </w:r>
    </w:p>
    <w:p w14:paraId="55B7361F" w14:textId="77777777" w:rsidR="00DE160B" w:rsidRDefault="00DE160B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Des cumulus</w:t>
      </w:r>
    </w:p>
    <w:p w14:paraId="70A41468" w14:textId="77777777" w:rsidR="00DE160B" w:rsidRDefault="00DE160B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Des échangeurs</w:t>
      </w:r>
    </w:p>
    <w:p w14:paraId="61AFCF1E" w14:textId="77777777" w:rsidR="00DE160B" w:rsidRDefault="00DE160B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De la distribution</w:t>
      </w:r>
    </w:p>
    <w:p w14:paraId="30A99D1F" w14:textId="77777777" w:rsidR="00DE160B" w:rsidRDefault="00DE160B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Des boucles de recyclage</w:t>
      </w:r>
    </w:p>
    <w:p w14:paraId="75FD8553" w14:textId="77777777" w:rsidR="00DE160B" w:rsidRDefault="00DE160B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Des vannes TA</w:t>
      </w:r>
    </w:p>
    <w:p w14:paraId="19F0C3E8" w14:textId="77777777" w:rsidR="00DE160B" w:rsidRDefault="00DE160B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Des régulateurs et accessoires électriques </w:t>
      </w:r>
    </w:p>
    <w:p w14:paraId="44984D69" w14:textId="77777777" w:rsidR="0035033A" w:rsidRDefault="0035033A" w:rsidP="00DE160B">
      <w:pPr>
        <w:pStyle w:val="Paragraphedeliste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Plomberie sanitaires :</w:t>
      </w:r>
      <w:commentRangeEnd w:id="4"/>
      <w:r w:rsidR="00E811B1">
        <w:rPr>
          <w:rStyle w:val="Marquedecommentaire"/>
        </w:rPr>
        <w:commentReference w:id="4"/>
      </w:r>
      <w:commentRangeEnd w:id="5"/>
      <w:r w:rsidR="001B7682">
        <w:rPr>
          <w:rStyle w:val="Marquedecommentaire"/>
        </w:rPr>
        <w:commentReference w:id="5"/>
      </w:r>
    </w:p>
    <w:p w14:paraId="21DE7C7A" w14:textId="77777777" w:rsidR="00FE2A93" w:rsidRPr="00A44E33" w:rsidRDefault="00FE2A93" w:rsidP="00FE2A93">
      <w:pPr>
        <w:pStyle w:val="Style1"/>
        <w:numPr>
          <w:ilvl w:val="0"/>
          <w:numId w:val="12"/>
        </w:numPr>
      </w:pPr>
      <w:r w:rsidRPr="00A44E33">
        <w:t>Accessoires et équipemen</w:t>
      </w:r>
      <w:r>
        <w:t xml:space="preserve">ts divers sanitaires (Robinetterie, flexibles </w:t>
      </w:r>
      <w:r w:rsidRPr="00A44E33">
        <w:t>et douchett</w:t>
      </w:r>
      <w:r>
        <w:t>es, mécanisme chasse d’eau</w:t>
      </w:r>
      <w:r w:rsidRPr="00A44E33">
        <w:t xml:space="preserve">, </w:t>
      </w:r>
      <w:r>
        <w:t xml:space="preserve">reprendre </w:t>
      </w:r>
      <w:r w:rsidRPr="00A44E33">
        <w:t xml:space="preserve">fixations accessoires, </w:t>
      </w:r>
      <w:r>
        <w:t>mousseurs, garde d’eau, siphon</w:t>
      </w:r>
      <w:r w:rsidRPr="009853FC">
        <w:t>.</w:t>
      </w:r>
      <w:r>
        <w:t>)</w:t>
      </w:r>
    </w:p>
    <w:p w14:paraId="6F5A2B29" w14:textId="77777777" w:rsidR="00FE2A93" w:rsidRPr="00FE2A93" w:rsidRDefault="00FE2A93" w:rsidP="00FE2A93">
      <w:pPr>
        <w:pStyle w:val="Paragraphedeliste"/>
        <w:numPr>
          <w:ilvl w:val="2"/>
          <w:numId w:val="10"/>
        </w:numPr>
        <w:jc w:val="both"/>
        <w:rPr>
          <w:rFonts w:ascii="Calibri" w:hAnsi="Calibri"/>
        </w:rPr>
      </w:pPr>
      <w:r>
        <w:t>Canalisations intérieures.</w:t>
      </w:r>
    </w:p>
    <w:p w14:paraId="7136B1BD" w14:textId="77777777" w:rsidR="00FE2A93" w:rsidRPr="00293672" w:rsidRDefault="00FE2A93" w:rsidP="00293672">
      <w:pPr>
        <w:pStyle w:val="Paragraphedeliste"/>
        <w:numPr>
          <w:ilvl w:val="2"/>
          <w:numId w:val="10"/>
        </w:numPr>
        <w:jc w:val="both"/>
        <w:rPr>
          <w:rFonts w:ascii="Calibri" w:hAnsi="Calibri"/>
        </w:rPr>
      </w:pPr>
      <w:r>
        <w:t>E</w:t>
      </w:r>
      <w:r w:rsidRPr="00A44E33">
        <w:t>léments sanitaires</w:t>
      </w:r>
      <w:r>
        <w:t xml:space="preserve"> (lavabos, receveurs de douches, urinoirs) </w:t>
      </w:r>
    </w:p>
    <w:p w14:paraId="5A4D8496" w14:textId="77777777" w:rsidR="00293672" w:rsidRDefault="00293672" w:rsidP="00293672">
      <w:pPr>
        <w:pStyle w:val="Paragraphedeliste"/>
        <w:ind w:left="360"/>
        <w:jc w:val="both"/>
      </w:pPr>
    </w:p>
    <w:p w14:paraId="6AE4621B" w14:textId="77777777" w:rsidR="00293672" w:rsidRDefault="00293672" w:rsidP="00293672">
      <w:pPr>
        <w:pStyle w:val="Paragraphedeliste"/>
        <w:ind w:left="360"/>
        <w:jc w:val="both"/>
      </w:pPr>
    </w:p>
    <w:p w14:paraId="56948A10" w14:textId="77777777" w:rsidR="00293672" w:rsidRDefault="00293672" w:rsidP="00293672">
      <w:pPr>
        <w:pStyle w:val="Paragraphedeliste"/>
        <w:ind w:left="360"/>
        <w:jc w:val="both"/>
      </w:pPr>
    </w:p>
    <w:p w14:paraId="1B816327" w14:textId="77777777" w:rsidR="00293672" w:rsidRPr="00293672" w:rsidRDefault="00293672" w:rsidP="00293672">
      <w:pPr>
        <w:pStyle w:val="Paragraphedeliste"/>
        <w:ind w:left="360"/>
        <w:jc w:val="both"/>
        <w:rPr>
          <w:rFonts w:ascii="Calibri" w:hAnsi="Calibri"/>
        </w:rPr>
      </w:pPr>
    </w:p>
    <w:p w14:paraId="4DC592C1" w14:textId="77777777" w:rsidR="00DE160B" w:rsidRPr="00DE160B" w:rsidRDefault="00DE160B" w:rsidP="00DE160B">
      <w:pPr>
        <w:ind w:left="283"/>
        <w:jc w:val="both"/>
        <w:rPr>
          <w:rFonts w:ascii="Calibri" w:hAnsi="Calibri"/>
        </w:rPr>
      </w:pPr>
    </w:p>
    <w:p w14:paraId="2F9BC9CF" w14:textId="77777777" w:rsidR="00DE160B" w:rsidRPr="00DE160B" w:rsidRDefault="00DE160B" w:rsidP="00DE160B">
      <w:pPr>
        <w:shd w:val="clear" w:color="auto" w:fill="EEECE1"/>
        <w:rPr>
          <w:rFonts w:ascii="Calibri" w:hAnsi="Calibri"/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60B">
        <w:rPr>
          <w:rFonts w:ascii="Calibri" w:hAnsi="Calibri"/>
          <w:b/>
        </w:rPr>
        <w:t xml:space="preserve">3. </w:t>
      </w:r>
      <w:r w:rsidRPr="00DE160B">
        <w:rPr>
          <w:rFonts w:ascii="Calibri" w:hAnsi="Calibri"/>
          <w:b/>
        </w:rPr>
        <w:tab/>
        <w:t>PRESTATIONS FORFAITAIRES DE BASE</w:t>
      </w:r>
    </w:p>
    <w:p w14:paraId="0699DFEC" w14:textId="77777777" w:rsidR="00DE160B" w:rsidRDefault="00DE160B" w:rsidP="00A500B2">
      <w:pPr>
        <w:pStyle w:val="Paragraphedeliste"/>
        <w:ind w:left="737" w:hanging="453"/>
        <w:jc w:val="both"/>
        <w:rPr>
          <w:b/>
        </w:rPr>
      </w:pPr>
      <w:r w:rsidRPr="00DE160B">
        <w:rPr>
          <w:rFonts w:ascii="Calibri" w:hAnsi="Calibri"/>
          <w:b/>
          <w:bCs/>
        </w:rPr>
        <w:t xml:space="preserve">3.1. </w:t>
      </w:r>
      <w:r w:rsidR="0088583F">
        <w:rPr>
          <w:b/>
        </w:rPr>
        <w:t>Obligation du titulaire</w:t>
      </w:r>
    </w:p>
    <w:p w14:paraId="58300C6B" w14:textId="77777777" w:rsidR="0088583F" w:rsidRDefault="0088583F" w:rsidP="00DE160B">
      <w:pPr>
        <w:pStyle w:val="Paragraphedeliste"/>
        <w:ind w:left="737"/>
        <w:jc w:val="both"/>
        <w:rPr>
          <w:b/>
        </w:rPr>
      </w:pPr>
    </w:p>
    <w:p w14:paraId="46593ABD" w14:textId="77777777" w:rsidR="0088583F" w:rsidRDefault="0088583F" w:rsidP="0088583F">
      <w:pPr>
        <w:pStyle w:val="Paragraphedeliste"/>
        <w:numPr>
          <w:ilvl w:val="0"/>
          <w:numId w:val="4"/>
        </w:numPr>
      </w:pPr>
      <w:r>
        <w:t>Le titulaire doit le maintien des performances contractuelles suivantes :</w:t>
      </w:r>
    </w:p>
    <w:p w14:paraId="682F44A4" w14:textId="77777777" w:rsidR="0088583F" w:rsidRPr="00EC0E36" w:rsidRDefault="0088583F" w:rsidP="0088583F">
      <w:pPr>
        <w:numPr>
          <w:ilvl w:val="0"/>
          <w:numId w:val="3"/>
        </w:numPr>
        <w:spacing w:after="0" w:line="240" w:lineRule="auto"/>
        <w:ind w:left="714" w:hanging="357"/>
        <w:jc w:val="both"/>
      </w:pPr>
      <w:r w:rsidRPr="00EC0E36">
        <w:t xml:space="preserve">La température de production et de stockage de l’ECS est fixée </w:t>
      </w:r>
      <w:proofErr w:type="gramStart"/>
      <w:r w:rsidRPr="00EC0E36">
        <w:t xml:space="preserve">à  </w:t>
      </w:r>
      <w:smartTag w:uri="urn:schemas-microsoft-com:office:smarttags" w:element="metricconverter">
        <w:smartTagPr>
          <w:attr w:name="ProductID" w:val="55ﾰC"/>
        </w:smartTagPr>
        <w:r w:rsidRPr="00EC0E36">
          <w:t>55</w:t>
        </w:r>
        <w:proofErr w:type="gramEnd"/>
        <w:r w:rsidRPr="00EC0E36">
          <w:t>°C</w:t>
        </w:r>
      </w:smartTag>
      <w:r w:rsidRPr="00EC0E36">
        <w:t xml:space="preserve"> +5°C/ -0°C ;</w:t>
      </w:r>
    </w:p>
    <w:p w14:paraId="78693B90" w14:textId="77777777" w:rsidR="0088583F" w:rsidRPr="00EC0E36" w:rsidRDefault="0088583F" w:rsidP="0088583F">
      <w:pPr>
        <w:numPr>
          <w:ilvl w:val="0"/>
          <w:numId w:val="3"/>
        </w:numPr>
        <w:spacing w:after="0" w:line="240" w:lineRule="auto"/>
        <w:ind w:left="714" w:hanging="357"/>
        <w:jc w:val="both"/>
      </w:pPr>
      <w:r w:rsidRPr="00EC0E36">
        <w:t xml:space="preserve">Aux points de puisage, la température de l’eau non mitigée est à maintenir entre </w:t>
      </w:r>
      <w:smartTag w:uri="urn:schemas-microsoft-com:office:smarttags" w:element="metricconverter">
        <w:smartTagPr>
          <w:attr w:name="ProductID" w:val="50ﾰC"/>
        </w:smartTagPr>
        <w:r w:rsidRPr="00EC0E36">
          <w:t>50°C</w:t>
        </w:r>
      </w:smartTag>
      <w:r w:rsidRPr="00EC0E36">
        <w:t xml:space="preserve"> et  55°C ;</w:t>
      </w:r>
    </w:p>
    <w:p w14:paraId="781F0A68" w14:textId="77777777" w:rsidR="0088583F" w:rsidRPr="00EC0E36" w:rsidRDefault="0088583F" w:rsidP="0088583F">
      <w:pPr>
        <w:numPr>
          <w:ilvl w:val="0"/>
          <w:numId w:val="3"/>
        </w:numPr>
        <w:spacing w:after="0" w:line="240" w:lineRule="auto"/>
        <w:ind w:left="714" w:hanging="357"/>
        <w:jc w:val="both"/>
      </w:pPr>
      <w:r w:rsidRPr="00EC0E36">
        <w:t>La température de retour de l’ECS au point de production ne devra pas être en dessous de 50°C ;</w:t>
      </w:r>
    </w:p>
    <w:p w14:paraId="59DF24CD" w14:textId="77777777" w:rsidR="0088583F" w:rsidRPr="00EC0E36" w:rsidRDefault="0088583F" w:rsidP="0088583F">
      <w:pPr>
        <w:numPr>
          <w:ilvl w:val="0"/>
          <w:numId w:val="3"/>
        </w:numPr>
        <w:spacing w:after="0" w:line="240" w:lineRule="auto"/>
        <w:ind w:left="714" w:hanging="357"/>
        <w:jc w:val="both"/>
      </w:pPr>
      <w:r w:rsidRPr="00EC0E36">
        <w:t xml:space="preserve">La température de l’eau mitigée est à </w:t>
      </w:r>
      <w:smartTag w:uri="urn:schemas-microsoft-com:office:smarttags" w:element="metricconverter">
        <w:smartTagPr>
          <w:attr w:name="ProductID" w:val="38ﾰC"/>
        </w:smartTagPr>
        <w:r w:rsidRPr="00EC0E36">
          <w:t>38°C</w:t>
        </w:r>
      </w:smartTag>
      <w:r w:rsidRPr="00EC0E36">
        <w:t xml:space="preserve"> </w:t>
      </w:r>
      <w:r w:rsidRPr="00EC0E36">
        <w:sym w:font="Symbol" w:char="F0B1"/>
      </w:r>
      <w:r w:rsidRPr="00EC0E36">
        <w:t xml:space="preserve"> 2°C ;</w:t>
      </w:r>
    </w:p>
    <w:p w14:paraId="6093B166" w14:textId="77777777" w:rsidR="0088583F" w:rsidRDefault="0088583F" w:rsidP="0088583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b/>
        </w:rPr>
      </w:pPr>
      <w:r>
        <w:t>Le débit et la pression de l’eau chaude sanitaire sont identiques à ceux de l’eau froide.</w:t>
      </w:r>
    </w:p>
    <w:p w14:paraId="1D098999" w14:textId="77777777" w:rsidR="0088583F" w:rsidRDefault="0088583F" w:rsidP="0088583F">
      <w:pPr>
        <w:pStyle w:val="Style1"/>
        <w:numPr>
          <w:ilvl w:val="0"/>
          <w:numId w:val="0"/>
        </w:numPr>
      </w:pPr>
    </w:p>
    <w:p w14:paraId="11F06982" w14:textId="77777777" w:rsidR="0088583F" w:rsidRDefault="0088583F" w:rsidP="0088583F">
      <w:pPr>
        <w:pStyle w:val="Style1"/>
        <w:numPr>
          <w:ilvl w:val="0"/>
          <w:numId w:val="4"/>
        </w:numPr>
      </w:pPr>
      <w:r w:rsidRPr="0012263E">
        <w:t>Prévention de la légionellose.</w:t>
      </w:r>
    </w:p>
    <w:p w14:paraId="4F0C592C" w14:textId="77777777" w:rsidR="0088583F" w:rsidRPr="0012263E" w:rsidRDefault="0088583F" w:rsidP="0088583F">
      <w:pPr>
        <w:pStyle w:val="Style1"/>
        <w:numPr>
          <w:ilvl w:val="0"/>
          <w:numId w:val="0"/>
        </w:numPr>
        <w:ind w:left="737"/>
      </w:pPr>
    </w:p>
    <w:p w14:paraId="27C5C8A0" w14:textId="77777777" w:rsidR="0088583F" w:rsidRDefault="0088583F" w:rsidP="0088583F">
      <w:r w:rsidRPr="00F15170">
        <w:t xml:space="preserve">Le titulaire prend toutes les dispositions pour lutter contre l’apparition de légionellose dans les installations d’eau chaude sanitaire. Dans le respect de l’annexe 2 à l’arrêté du 1er février 2010 cité ci-avant le titulaire assurera les prestations </w:t>
      </w:r>
      <w:r w:rsidR="00863CDF" w:rsidRPr="00F15170">
        <w:t>suivantes :</w:t>
      </w:r>
    </w:p>
    <w:p w14:paraId="69AE5B38" w14:textId="06224D78" w:rsidR="0088583F" w:rsidRDefault="0088583F" w:rsidP="0088583F">
      <w:r w:rsidRPr="00D250B3">
        <w:rPr>
          <w:b/>
        </w:rPr>
        <w:t xml:space="preserve">1 fois par an : </w:t>
      </w:r>
      <w:r w:rsidRPr="00D250B3">
        <w:t>désinfection des pommeaux et flexibles de douches.</w:t>
      </w:r>
    </w:p>
    <w:p w14:paraId="6D02ABAA" w14:textId="66E4CBB6" w:rsidR="004D7E93" w:rsidRPr="00F15170" w:rsidRDefault="004D7E93" w:rsidP="0088583F">
      <w:r>
        <w:t>Réalisations de</w:t>
      </w:r>
      <w:r w:rsidR="0098702B">
        <w:t>s tirages sur le site du CIN lors des périodes de PTBA (périodes des très basses activités) selon protocole USID de Brest.</w:t>
      </w:r>
    </w:p>
    <w:p w14:paraId="60EE5CEB" w14:textId="77777777" w:rsidR="00FE2A93" w:rsidRDefault="0088583F" w:rsidP="0088583F">
      <w:pPr>
        <w:jc w:val="both"/>
      </w:pPr>
      <w:r w:rsidRPr="00D250B3">
        <w:rPr>
          <w:b/>
        </w:rPr>
        <w:t>1 fois par mois</w:t>
      </w:r>
      <w:r w:rsidRPr="00F15170">
        <w:t> : prise de température de l’eau à la sortie des points de production et sur les points d’usage à risque ou les points les plus éloignés de la production ECS. Les valeurs de température seront transmises au P.P.E du site.</w:t>
      </w:r>
    </w:p>
    <w:p w14:paraId="336F7A97" w14:textId="77777777" w:rsidR="00FE2A93" w:rsidRDefault="00FE2A93" w:rsidP="00FE2A93">
      <w:pPr>
        <w:pStyle w:val="Paragraphedeliste"/>
        <w:numPr>
          <w:ilvl w:val="0"/>
          <w:numId w:val="4"/>
        </w:numPr>
        <w:jc w:val="both"/>
      </w:pPr>
      <w:r>
        <w:t>Plomberie.</w:t>
      </w:r>
    </w:p>
    <w:p w14:paraId="56BEB6D0" w14:textId="77777777" w:rsidR="00C8369C" w:rsidRDefault="00C8369C" w:rsidP="00C8369C">
      <w:pPr>
        <w:pStyle w:val="Style1"/>
        <w:numPr>
          <w:ilvl w:val="0"/>
          <w:numId w:val="13"/>
        </w:numPr>
        <w:rPr>
          <w:rFonts w:eastAsia="CIDFont+F1" w:cs="Calibri"/>
        </w:rPr>
      </w:pPr>
      <w:r>
        <w:t>Maintenir l’état des</w:t>
      </w:r>
      <w:r w:rsidR="00FE2A93" w:rsidRPr="00A44E33">
        <w:t xml:space="preserve"> joints d’étanchéité et silicone entre appareils</w:t>
      </w:r>
      <w:r w:rsidR="00FE2A93">
        <w:t xml:space="preserve"> </w:t>
      </w:r>
      <w:r>
        <w:t xml:space="preserve">ainsi que </w:t>
      </w:r>
      <w:r>
        <w:rPr>
          <w:rFonts w:eastAsia="CIDFont+F1" w:cs="Calibri"/>
        </w:rPr>
        <w:t>le r</w:t>
      </w:r>
      <w:r w:rsidRPr="007D04EC">
        <w:rPr>
          <w:rFonts w:eastAsia="CIDFont+F1" w:cs="Calibri"/>
        </w:rPr>
        <w:t xml:space="preserve">evêtement de protection et </w:t>
      </w:r>
      <w:r>
        <w:rPr>
          <w:rFonts w:eastAsia="CIDFont+F1" w:cs="Calibri"/>
        </w:rPr>
        <w:t xml:space="preserve">la </w:t>
      </w:r>
      <w:r w:rsidRPr="007D04EC">
        <w:rPr>
          <w:rFonts w:eastAsia="CIDFont+F1" w:cs="Calibri"/>
        </w:rPr>
        <w:t>re</w:t>
      </w:r>
      <w:r>
        <w:rPr>
          <w:rFonts w:eastAsia="CIDFont+F1" w:cs="Calibri"/>
        </w:rPr>
        <w:t>mise en peinture de tuyauteries.</w:t>
      </w:r>
    </w:p>
    <w:p w14:paraId="6D784019" w14:textId="77777777" w:rsidR="00C8369C" w:rsidRDefault="00C8369C" w:rsidP="00C8369C">
      <w:pPr>
        <w:pStyle w:val="Style1"/>
        <w:numPr>
          <w:ilvl w:val="0"/>
          <w:numId w:val="13"/>
        </w:numPr>
        <w:rPr>
          <w:rFonts w:eastAsia="CIDFont+F1" w:cs="Calibri"/>
        </w:rPr>
      </w:pPr>
      <w:r>
        <w:rPr>
          <w:rFonts w:eastAsia="CIDFont+F1" w:cs="Calibri"/>
        </w:rPr>
        <w:t>Nettoyage des filtres.</w:t>
      </w:r>
    </w:p>
    <w:p w14:paraId="393FE68F" w14:textId="77777777" w:rsidR="00C8369C" w:rsidRPr="008B2333" w:rsidRDefault="00C8369C" w:rsidP="00293672">
      <w:pPr>
        <w:pStyle w:val="Style1"/>
        <w:numPr>
          <w:ilvl w:val="0"/>
          <w:numId w:val="0"/>
        </w:numPr>
        <w:ind w:left="720"/>
        <w:rPr>
          <w:rFonts w:eastAsia="CIDFont+F1" w:cs="Calibri"/>
        </w:rPr>
      </w:pPr>
    </w:p>
    <w:p w14:paraId="46424224" w14:textId="46D7CCFB" w:rsidR="0088583F" w:rsidRDefault="0088583F" w:rsidP="0088583F">
      <w:pPr>
        <w:jc w:val="both"/>
        <w:rPr>
          <w:rFonts w:ascii="Calibri" w:hAnsi="Calibri"/>
        </w:rPr>
      </w:pPr>
      <w:bookmarkStart w:id="6" w:name="_GoBack"/>
      <w:bookmarkEnd w:id="6"/>
    </w:p>
    <w:p w14:paraId="76F04700" w14:textId="77777777" w:rsidR="0088583F" w:rsidRDefault="0088583F" w:rsidP="00A500B2">
      <w:pPr>
        <w:spacing w:before="120" w:after="120" w:line="240" w:lineRule="auto"/>
        <w:ind w:left="1080" w:hanging="796"/>
        <w:jc w:val="both"/>
        <w:rPr>
          <w:b/>
        </w:rPr>
      </w:pPr>
      <w:r>
        <w:rPr>
          <w:rFonts w:ascii="Calibri" w:hAnsi="Calibri"/>
          <w:b/>
          <w:bCs/>
        </w:rPr>
        <w:t xml:space="preserve">3.2. </w:t>
      </w:r>
      <w:r>
        <w:rPr>
          <w:b/>
        </w:rPr>
        <w:t>Obligation du titulaire</w:t>
      </w:r>
    </w:p>
    <w:p w14:paraId="7AE0C8BA" w14:textId="77777777" w:rsidR="0088583F" w:rsidRDefault="0088583F" w:rsidP="0088583F">
      <w:pPr>
        <w:pStyle w:val="Style1"/>
        <w:numPr>
          <w:ilvl w:val="0"/>
          <w:numId w:val="0"/>
        </w:numPr>
        <w:rPr>
          <w:rFonts w:eastAsiaTheme="minorHAnsi" w:cstheme="minorBidi"/>
          <w:lang w:eastAsia="en-US"/>
        </w:rPr>
      </w:pPr>
    </w:p>
    <w:p w14:paraId="1C817FFC" w14:textId="77777777" w:rsidR="00D4389A" w:rsidRDefault="0088583F" w:rsidP="00D4389A">
      <w:pPr>
        <w:pStyle w:val="Style1"/>
        <w:numPr>
          <w:ilvl w:val="0"/>
          <w:numId w:val="4"/>
        </w:numPr>
      </w:pPr>
      <w:r w:rsidRPr="00A220D6">
        <w:t>Maintenance préventive</w:t>
      </w:r>
    </w:p>
    <w:p w14:paraId="2F179621" w14:textId="77777777" w:rsidR="00D4389A" w:rsidRDefault="00D4389A" w:rsidP="00D4389A">
      <w:pPr>
        <w:pStyle w:val="Style1"/>
        <w:numPr>
          <w:ilvl w:val="0"/>
          <w:numId w:val="0"/>
        </w:numPr>
      </w:pP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0"/>
        <w:gridCol w:w="460"/>
        <w:gridCol w:w="460"/>
        <w:gridCol w:w="460"/>
        <w:gridCol w:w="460"/>
        <w:gridCol w:w="460"/>
        <w:gridCol w:w="460"/>
      </w:tblGrid>
      <w:tr w:rsidR="00D4389A" w:rsidRPr="00D4389A" w14:paraId="490F04B6" w14:textId="77777777" w:rsidTr="00D4389A">
        <w:trPr>
          <w:trHeight w:val="300"/>
        </w:trPr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73094" w14:textId="77777777" w:rsidR="00D4389A" w:rsidRPr="00D4389A" w:rsidRDefault="00D4389A" w:rsidP="00D4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5E3F6745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4169A32C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CA5B86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4CA05D6D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3F2CEACD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393889E6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SB</w:t>
            </w:r>
          </w:p>
        </w:tc>
      </w:tr>
      <w:tr w:rsidR="00D4389A" w:rsidRPr="00D4389A" w14:paraId="5BA714FA" w14:textId="77777777" w:rsidTr="00D4389A">
        <w:trPr>
          <w:trHeight w:val="315"/>
        </w:trPr>
        <w:tc>
          <w:tcPr>
            <w:tcW w:w="9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3490E2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Ballon d'eau chaude</w:t>
            </w:r>
          </w:p>
        </w:tc>
      </w:tr>
      <w:tr w:rsidR="00D4389A" w:rsidRPr="00D4389A" w14:paraId="01B74BD1" w14:textId="77777777" w:rsidTr="00D4389A">
        <w:trPr>
          <w:trHeight w:val="226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A3B9" w14:textId="77777777" w:rsidR="00D4389A" w:rsidRPr="00D4389A" w:rsidRDefault="00D4389A" w:rsidP="00D438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4389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fr-FR"/>
              </w:rPr>
              <w:t xml:space="preserve"> </w:t>
            </w:r>
            <w:r w:rsidRPr="00D4389A">
              <w:rPr>
                <w:rFonts w:ascii="Calibri" w:eastAsia="Arial" w:hAnsi="Calibri" w:cs="Calibri"/>
                <w:color w:val="000000"/>
                <w:lang w:eastAsia="fr-FR"/>
              </w:rPr>
              <w:t>Contrôle de l’absence de fuite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AF13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2E97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23A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C4D7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39A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BBCD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4C77222B" w14:textId="77777777" w:rsidTr="00D4389A">
        <w:trPr>
          <w:trHeight w:val="18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4812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Chasse rapide en partie basse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DD21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05B1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34CF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DD6A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FAC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AB3D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2B75F17A" w14:textId="77777777" w:rsidTr="00D4389A">
        <w:trPr>
          <w:trHeight w:val="92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B1C0" w14:textId="77777777" w:rsidR="00D4389A" w:rsidRPr="00D4389A" w:rsidRDefault="00D4389A" w:rsidP="00D4389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Arial" w:hAnsi="Calibri" w:cs="Calibri"/>
                <w:color w:val="000000"/>
                <w:lang w:eastAsia="fr-FR"/>
              </w:rPr>
              <w:t>Contrôle des organes de sécurité (soupape)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DC55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6A9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082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D68C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A7E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2A1A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092C83BD" w14:textId="77777777" w:rsidTr="00D4389A">
        <w:trPr>
          <w:trHeight w:val="23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9A7A" w14:textId="77777777" w:rsidR="00D4389A" w:rsidRPr="00D4389A" w:rsidRDefault="00D4389A" w:rsidP="00D4389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Arial" w:hAnsi="Calibri" w:cs="Calibri"/>
                <w:color w:val="000000"/>
                <w:lang w:eastAsia="fr-FR"/>
              </w:rPr>
              <w:t>Contrôle des points de consigne de la régulation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2D43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2F3F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3770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9C53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17C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48C5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46ABB0BD" w14:textId="77777777" w:rsidTr="00D4389A">
        <w:trPr>
          <w:trHeight w:val="86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98CB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Relevé intensité ballon électrique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60E3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C6B3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7986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E1DF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F9D5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47B4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569FC7AB" w14:textId="77777777" w:rsidTr="00D4389A">
        <w:trPr>
          <w:trHeight w:val="104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0F29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Relevé isolement ballon électrique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833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CCD6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060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5385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D22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3541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423EB2AA" w14:textId="77777777" w:rsidTr="00D4389A">
        <w:trPr>
          <w:trHeight w:val="94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C8C8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Contrôle résistance ou tube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7C7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E87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3EC0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FD5B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48FA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6C25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0467E09A" w14:textId="77777777" w:rsidTr="00D4389A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FAD2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Manœuvre sectionnements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4D0A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511F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FFF4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30D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BC64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0DB6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1F997E09" w14:textId="77777777" w:rsidTr="00D4389A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337D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Remplacement des anodes sacrificielles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F717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D51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D15B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6447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D7EC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7AA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4AFC0C65" w14:textId="77777777" w:rsidTr="00D4389A">
        <w:trPr>
          <w:trHeight w:val="12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F489" w14:textId="77777777" w:rsidR="00D4389A" w:rsidRPr="00D4389A" w:rsidRDefault="00D4389A" w:rsidP="00D4389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Contrôle des résistances (changement si besoin)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20BC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9487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DCC7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A10D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32A3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528F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42744D5E" w14:textId="77777777" w:rsidR="00D4389A" w:rsidRDefault="00D4389A" w:rsidP="00D4389A">
      <w:pPr>
        <w:pStyle w:val="Style1"/>
        <w:numPr>
          <w:ilvl w:val="0"/>
          <w:numId w:val="0"/>
        </w:numPr>
      </w:pP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0"/>
        <w:gridCol w:w="460"/>
        <w:gridCol w:w="460"/>
        <w:gridCol w:w="460"/>
        <w:gridCol w:w="460"/>
        <w:gridCol w:w="460"/>
        <w:gridCol w:w="460"/>
      </w:tblGrid>
      <w:tr w:rsidR="00D4389A" w:rsidRPr="00D4389A" w14:paraId="6B4E0890" w14:textId="77777777" w:rsidTr="00D4389A">
        <w:trPr>
          <w:trHeight w:val="300"/>
        </w:trPr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8DE5A" w14:textId="77777777" w:rsidR="00D4389A" w:rsidRPr="00D4389A" w:rsidRDefault="00D4389A" w:rsidP="00D4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F06D5F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44A880B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A520AC0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873523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2B2632D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3785B2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SB</w:t>
            </w:r>
          </w:p>
        </w:tc>
      </w:tr>
      <w:tr w:rsidR="00D4389A" w:rsidRPr="00D4389A" w14:paraId="689056D7" w14:textId="77777777" w:rsidTr="00D4389A">
        <w:trPr>
          <w:trHeight w:val="315"/>
        </w:trPr>
        <w:tc>
          <w:tcPr>
            <w:tcW w:w="9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AB600B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Echangeurs et préparateur ECS</w:t>
            </w:r>
          </w:p>
        </w:tc>
      </w:tr>
      <w:tr w:rsidR="00D4389A" w:rsidRPr="00D4389A" w14:paraId="2E1AB60E" w14:textId="77777777" w:rsidTr="00D4389A">
        <w:trPr>
          <w:trHeight w:val="13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75F0" w14:textId="77777777" w:rsidR="00D4389A" w:rsidRPr="00D4389A" w:rsidRDefault="00D4389A" w:rsidP="00D4389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Arial" w:hAnsi="Calibri" w:cs="Calibri"/>
                <w:color w:val="000000"/>
                <w:lang w:eastAsia="fr-FR"/>
              </w:rPr>
              <w:t>Contrôle étanchéité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2706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B273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B220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795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31C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C4ED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4E4B63D6" w14:textId="77777777" w:rsidTr="00D4389A">
        <w:trPr>
          <w:trHeight w:val="142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F799" w14:textId="77777777" w:rsidR="00D4389A" w:rsidRPr="00D4389A" w:rsidRDefault="00D4389A" w:rsidP="00D43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Manœuvre sectionnements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917B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00EA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D3B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207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560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8B30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41BF24DE" w14:textId="77777777" w:rsidTr="00D4389A">
        <w:trPr>
          <w:trHeight w:val="16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F9CF" w14:textId="77777777" w:rsidR="00D4389A" w:rsidRPr="00D4389A" w:rsidRDefault="00D4389A" w:rsidP="00D4389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Arial" w:hAnsi="Calibri" w:cs="Calibri"/>
                <w:color w:val="000000"/>
                <w:lang w:eastAsia="fr-FR"/>
              </w:rPr>
              <w:t>Contrôle des points de consigne de la régulation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57B6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AEF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2F5E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09BB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29F1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E8AE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D4389A" w:rsidRPr="00D4389A" w14:paraId="12341525" w14:textId="77777777" w:rsidTr="00D4389A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2154" w14:textId="77777777" w:rsidR="00D4389A" w:rsidRPr="00D4389A" w:rsidRDefault="00D4389A" w:rsidP="00D4389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Nettoyage de l'échangeur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74B2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C10F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219D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2A3F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A528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A329" w14:textId="77777777" w:rsidR="00D4389A" w:rsidRPr="00D4389A" w:rsidRDefault="00D4389A" w:rsidP="00D43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4389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</w:tr>
    </w:tbl>
    <w:p w14:paraId="6F9A960A" w14:textId="03726C79" w:rsidR="004D7E93" w:rsidRDefault="004D7E93" w:rsidP="00D4389A">
      <w:pPr>
        <w:pStyle w:val="Style1"/>
        <w:numPr>
          <w:ilvl w:val="0"/>
          <w:numId w:val="0"/>
        </w:numPr>
      </w:pPr>
    </w:p>
    <w:p w14:paraId="3AFEE3AE" w14:textId="6D8799C0" w:rsidR="0045338F" w:rsidRDefault="0045338F" w:rsidP="004D7E93">
      <w:pPr>
        <w:pStyle w:val="Style1"/>
        <w:numPr>
          <w:ilvl w:val="0"/>
          <w:numId w:val="13"/>
        </w:numPr>
      </w:pPr>
      <w:r>
        <w:t xml:space="preserve">Une désinfection au CIN devra être effectuée une fois sur la durée du </w:t>
      </w:r>
      <w:r w:rsidR="004D7E93">
        <w:t xml:space="preserve">marché. </w:t>
      </w:r>
    </w:p>
    <w:p w14:paraId="37377DFB" w14:textId="77777777" w:rsidR="004D7E93" w:rsidRDefault="004D7E93" w:rsidP="0098702B">
      <w:pPr>
        <w:pStyle w:val="Style1"/>
        <w:numPr>
          <w:ilvl w:val="0"/>
          <w:numId w:val="0"/>
        </w:numPr>
        <w:ind w:left="360"/>
      </w:pPr>
    </w:p>
    <w:p w14:paraId="0E1C9B0C" w14:textId="77777777" w:rsidR="0088583F" w:rsidRDefault="0088583F" w:rsidP="0088583F">
      <w:pPr>
        <w:pStyle w:val="Style1"/>
        <w:numPr>
          <w:ilvl w:val="0"/>
          <w:numId w:val="0"/>
        </w:numPr>
      </w:pPr>
    </w:p>
    <w:p w14:paraId="7A74E037" w14:textId="77777777" w:rsidR="00863CDF" w:rsidRDefault="00863CDF" w:rsidP="00863CDF">
      <w:pPr>
        <w:pStyle w:val="Paragraphedeliste"/>
        <w:numPr>
          <w:ilvl w:val="0"/>
          <w:numId w:val="6"/>
        </w:numPr>
      </w:pPr>
      <w:r>
        <w:t>Maintenance corrective</w:t>
      </w:r>
    </w:p>
    <w:p w14:paraId="70CA9B68" w14:textId="77777777" w:rsidR="00D22BF5" w:rsidRDefault="00863CDF">
      <w:r>
        <w:t>A la demande des utilisateurs ou du représentant du SID Atlantique, selon les clauses inscrites aux CCTP et CCAP.</w:t>
      </w:r>
    </w:p>
    <w:p w14:paraId="27B8E7AF" w14:textId="77777777" w:rsidR="00D22BF5" w:rsidRDefault="00D22BF5">
      <w:r>
        <w:br w:type="page"/>
      </w:r>
    </w:p>
    <w:p w14:paraId="7B9CE4A2" w14:textId="77777777" w:rsidR="00D22BF5" w:rsidRDefault="00D22BF5"/>
    <w:p w14:paraId="4CFC26AB" w14:textId="77777777" w:rsidR="00865058" w:rsidRPr="00CB0B1E" w:rsidRDefault="00865058" w:rsidP="00865058">
      <w:pPr>
        <w:shd w:val="clear" w:color="auto" w:fill="EEECE1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4. </w:t>
      </w:r>
      <w:r>
        <w:rPr>
          <w:rFonts w:ascii="Calibri" w:hAnsi="Calibri"/>
          <w:b/>
        </w:rPr>
        <w:tab/>
        <w:t>Carnet sanitaire</w:t>
      </w:r>
    </w:p>
    <w:p w14:paraId="006445DE" w14:textId="77777777" w:rsidR="00865058" w:rsidRPr="009D6DCE" w:rsidRDefault="00865058" w:rsidP="00865058">
      <w:r w:rsidRPr="009D6DCE">
        <w:t>Le Titulaire fournira et tiendra à jour sur tous les sites ayant une production d’ECS un carnet sanitaire qui sera laissé en permanence en chaufferie.</w:t>
      </w:r>
    </w:p>
    <w:p w14:paraId="21D8FDAA" w14:textId="77777777" w:rsidR="00865058" w:rsidRPr="009D6DCE" w:rsidRDefault="00865058" w:rsidP="00865058">
      <w:r w:rsidRPr="009D6DCE">
        <w:t>Ce livret sera transmis pour visa à l’USID.</w:t>
      </w:r>
    </w:p>
    <w:p w14:paraId="1C881616" w14:textId="77777777" w:rsidR="00865058" w:rsidRPr="009D6DCE" w:rsidRDefault="00865058" w:rsidP="00865058"/>
    <w:p w14:paraId="2BC41C1D" w14:textId="77777777" w:rsidR="00865058" w:rsidRPr="009D6DCE" w:rsidRDefault="00865058" w:rsidP="00865058">
      <w:r w:rsidRPr="009D6DCE">
        <w:t>Le Titulaire portera sur ce carnet :</w:t>
      </w:r>
    </w:p>
    <w:p w14:paraId="1D776160" w14:textId="77777777" w:rsidR="00865058" w:rsidRPr="009D6DCE" w:rsidRDefault="00865058" w:rsidP="00865058">
      <w:r w:rsidRPr="009D6DCE">
        <w:t xml:space="preserve">Toutes les données relatives à l’installation ECS en particulier le plan détaillé du réseau </w:t>
      </w:r>
      <w:r>
        <w:t>et les informations suivantes :</w:t>
      </w:r>
    </w:p>
    <w:p w14:paraId="07DF5561" w14:textId="77777777" w:rsidR="00865058" w:rsidRPr="009D6DCE" w:rsidRDefault="00865058" w:rsidP="00865058">
      <w:pPr>
        <w:spacing w:before="120" w:after="120" w:line="240" w:lineRule="auto"/>
        <w:ind w:left="720"/>
        <w:jc w:val="both"/>
        <w:rPr>
          <w:b/>
        </w:rPr>
      </w:pPr>
      <w:r w:rsidRPr="009D6DCE">
        <w:rPr>
          <w:b/>
        </w:rPr>
        <w:t>A chacun de ses passages :</w:t>
      </w:r>
    </w:p>
    <w:p w14:paraId="1DDB11E1" w14:textId="77777777" w:rsidR="00865058" w:rsidRPr="009D6DCE" w:rsidRDefault="00865058" w:rsidP="00865058">
      <w:pPr>
        <w:numPr>
          <w:ilvl w:val="0"/>
          <w:numId w:val="8"/>
        </w:numPr>
        <w:spacing w:after="0" w:line="240" w:lineRule="auto"/>
        <w:jc w:val="both"/>
      </w:pPr>
      <w:r w:rsidRPr="009D6DCE">
        <w:t>Le relevé des températures départ – retour bouclage ECS,</w:t>
      </w:r>
    </w:p>
    <w:p w14:paraId="78499B95" w14:textId="77777777" w:rsidR="00865058" w:rsidRPr="009D6DCE" w:rsidRDefault="00865058" w:rsidP="00865058">
      <w:pPr>
        <w:numPr>
          <w:ilvl w:val="0"/>
          <w:numId w:val="8"/>
        </w:numPr>
        <w:spacing w:after="0" w:line="240" w:lineRule="auto"/>
        <w:jc w:val="both"/>
      </w:pPr>
      <w:r w:rsidRPr="009D6DCE">
        <w:t>Le relevé de la température de production,</w:t>
      </w:r>
    </w:p>
    <w:p w14:paraId="3AE2A1D5" w14:textId="77777777" w:rsidR="00865058" w:rsidRPr="009D6DCE" w:rsidRDefault="00865058" w:rsidP="00865058">
      <w:pPr>
        <w:numPr>
          <w:ilvl w:val="0"/>
          <w:numId w:val="8"/>
        </w:numPr>
        <w:spacing w:after="0" w:line="240" w:lineRule="auto"/>
      </w:pPr>
      <w:r w:rsidRPr="009D6DCE">
        <w:t>Les informations relatives à l’entretien du matériel de traitement de l’eau,</w:t>
      </w:r>
    </w:p>
    <w:p w14:paraId="23674837" w14:textId="77777777" w:rsidR="00865058" w:rsidRPr="009D6DCE" w:rsidRDefault="00865058" w:rsidP="00865058">
      <w:pPr>
        <w:numPr>
          <w:ilvl w:val="0"/>
          <w:numId w:val="8"/>
        </w:numPr>
        <w:spacing w:after="0" w:line="240" w:lineRule="auto"/>
      </w:pPr>
      <w:r w:rsidRPr="009D6DCE">
        <w:t>Toutes les indications des appareils de mesures,</w:t>
      </w:r>
    </w:p>
    <w:p w14:paraId="4C4A25AB" w14:textId="77777777" w:rsidR="00865058" w:rsidRPr="009D6DCE" w:rsidRDefault="00865058" w:rsidP="00865058">
      <w:pPr>
        <w:numPr>
          <w:ilvl w:val="0"/>
          <w:numId w:val="8"/>
        </w:numPr>
        <w:spacing w:after="0" w:line="240" w:lineRule="auto"/>
      </w:pPr>
      <w:r w:rsidRPr="009D6DCE">
        <w:t>Toute information jugée nécessaire à la conduite particulière de l’installation,</w:t>
      </w:r>
    </w:p>
    <w:p w14:paraId="5393FA18" w14:textId="77777777" w:rsidR="00865058" w:rsidRPr="009D6DCE" w:rsidRDefault="00865058" w:rsidP="00865058">
      <w:pPr>
        <w:numPr>
          <w:ilvl w:val="0"/>
          <w:numId w:val="8"/>
        </w:numPr>
        <w:spacing w:after="0" w:line="240" w:lineRule="auto"/>
      </w:pPr>
      <w:r w:rsidRPr="009D6DCE">
        <w:t>La date, le nom et la signature de l’intervenant.</w:t>
      </w:r>
    </w:p>
    <w:p w14:paraId="6EEE56EA" w14:textId="77777777" w:rsidR="00865058" w:rsidRPr="009D6DCE" w:rsidRDefault="00865058" w:rsidP="00865058"/>
    <w:p w14:paraId="488933F0" w14:textId="77777777" w:rsidR="00865058" w:rsidRPr="009D6DCE" w:rsidRDefault="00865058" w:rsidP="00865058">
      <w:pPr>
        <w:spacing w:before="120" w:after="120" w:line="240" w:lineRule="auto"/>
        <w:ind w:left="720"/>
        <w:jc w:val="both"/>
        <w:rPr>
          <w:b/>
        </w:rPr>
      </w:pPr>
      <w:r w:rsidRPr="009D6DCE">
        <w:rPr>
          <w:b/>
        </w:rPr>
        <w:t>Chaque mois :</w:t>
      </w:r>
    </w:p>
    <w:p w14:paraId="529A4B70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Le relevé des températures aux points de puisages les plus défavorisés,</w:t>
      </w:r>
    </w:p>
    <w:p w14:paraId="044CEBF2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L’index du compteur ECS.</w:t>
      </w:r>
    </w:p>
    <w:p w14:paraId="160457BE" w14:textId="77777777" w:rsidR="00865058" w:rsidRPr="009D6DCE" w:rsidRDefault="00865058" w:rsidP="00865058"/>
    <w:p w14:paraId="3FA6C9AC" w14:textId="77777777" w:rsidR="00865058" w:rsidRPr="009D6DCE" w:rsidRDefault="00865058" w:rsidP="00865058">
      <w:pPr>
        <w:spacing w:before="120" w:after="120" w:line="240" w:lineRule="auto"/>
        <w:ind w:left="720"/>
        <w:jc w:val="both"/>
        <w:rPr>
          <w:b/>
        </w:rPr>
      </w:pPr>
      <w:r w:rsidRPr="009D6DCE">
        <w:rPr>
          <w:b/>
        </w:rPr>
        <w:t>Quatre fois par an :</w:t>
      </w:r>
    </w:p>
    <w:p w14:paraId="7C93A76B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Les chasses réalisées sur les ballons de stockage (5 à 10 %).</w:t>
      </w:r>
    </w:p>
    <w:p w14:paraId="478AAF34" w14:textId="77777777" w:rsidR="00865058" w:rsidRPr="009D6DCE" w:rsidRDefault="00865058" w:rsidP="00865058"/>
    <w:p w14:paraId="2E703722" w14:textId="77777777" w:rsidR="00865058" w:rsidRPr="009D6DCE" w:rsidRDefault="00865058" w:rsidP="00865058">
      <w:pPr>
        <w:spacing w:before="120" w:after="120" w:line="240" w:lineRule="auto"/>
        <w:ind w:left="720"/>
        <w:jc w:val="both"/>
        <w:rPr>
          <w:b/>
        </w:rPr>
      </w:pPr>
      <w:r w:rsidRPr="009D6DCE">
        <w:rPr>
          <w:b/>
        </w:rPr>
        <w:t>Annuellement :</w:t>
      </w:r>
    </w:p>
    <w:p w14:paraId="21FFD3A4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Seront précisées les vidanges, inspections, nettoyages/détartrages et désinfection des ballons de stockage. Une copie du certificat restera dans le carnet,</w:t>
      </w:r>
    </w:p>
    <w:p w14:paraId="6E670E92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Une copie des analyses bactériologiques et physico-chimiques,</w:t>
      </w:r>
    </w:p>
    <w:p w14:paraId="02A6E8A2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Contrôle du remplacement de l’anode de protection contre la corrosion,</w:t>
      </w:r>
    </w:p>
    <w:p w14:paraId="5837506A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Contrôle du bon fonctionnement des vannes, clapets, mitigeurs, …</w:t>
      </w:r>
    </w:p>
    <w:p w14:paraId="5D14C9E0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Contrôle des manchettes d’inspection,</w:t>
      </w:r>
    </w:p>
    <w:p w14:paraId="01917F47" w14:textId="77777777" w:rsidR="00865058" w:rsidRPr="009D6DCE" w:rsidRDefault="00865058" w:rsidP="00865058">
      <w:pPr>
        <w:numPr>
          <w:ilvl w:val="0"/>
          <w:numId w:val="9"/>
        </w:numPr>
        <w:spacing w:after="0" w:line="240" w:lineRule="auto"/>
      </w:pPr>
      <w:r w:rsidRPr="009D6DCE">
        <w:t>La vérification des terminaux (état général, entartrage, joints…).</w:t>
      </w:r>
    </w:p>
    <w:p w14:paraId="45CC85A8" w14:textId="77777777" w:rsidR="00865058" w:rsidRDefault="00865058" w:rsidP="00865058"/>
    <w:sectPr w:rsidR="00865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MEST Gwenaelle ICD" w:date="2025-07-02T14:17:00Z" w:initials="MGT3C">
    <w:p w14:paraId="2425C1DE" w14:textId="77777777" w:rsidR="00E811B1" w:rsidRDefault="00E811B1">
      <w:pPr>
        <w:pStyle w:val="Commentaire"/>
      </w:pPr>
      <w:r>
        <w:rPr>
          <w:rStyle w:val="Marquedecommentaire"/>
        </w:rPr>
        <w:annotationRef/>
      </w:r>
      <w:proofErr w:type="spellStart"/>
      <w:r>
        <w:t>Nbr</w:t>
      </w:r>
      <w:proofErr w:type="spellEnd"/>
      <w:r>
        <w:t xml:space="preserve"> connus ?</w:t>
      </w:r>
    </w:p>
  </w:comment>
  <w:comment w:id="5" w:author="DROGUET Mickaël" w:date="2025-09-04T08:45:00Z" w:initials="DMM">
    <w:p w14:paraId="4D7E9AF0" w14:textId="780F243F" w:rsidR="001B7682" w:rsidRDefault="001B7682">
      <w:pPr>
        <w:pStyle w:val="Commentaire"/>
      </w:pPr>
      <w:r>
        <w:rPr>
          <w:rStyle w:val="Marquedecommentaire"/>
        </w:rPr>
        <w:annotationRef/>
      </w:r>
      <w:r>
        <w:t>Le descriptif est dans la fiche CAT 02.04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25C1DE" w15:done="0"/>
  <w15:commentEx w15:paraId="4D7E9AF0" w15:paraIdParent="2425C1D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1B57"/>
    <w:multiLevelType w:val="hybridMultilevel"/>
    <w:tmpl w:val="5D108472"/>
    <w:lvl w:ilvl="0" w:tplc="040C000B">
      <w:start w:val="1"/>
      <w:numFmt w:val="bullet"/>
      <w:lvlText w:val=""/>
      <w:lvlJc w:val="left"/>
      <w:pPr>
        <w:ind w:left="50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9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6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96" w:hanging="360"/>
      </w:pPr>
      <w:rPr>
        <w:rFonts w:ascii="Wingdings" w:hAnsi="Wingdings" w:hint="default"/>
      </w:rPr>
    </w:lvl>
  </w:abstractNum>
  <w:abstractNum w:abstractNumId="1" w15:restartNumberingAfterBreak="0">
    <w:nsid w:val="0FAE48F4"/>
    <w:multiLevelType w:val="hybridMultilevel"/>
    <w:tmpl w:val="1A78D21C"/>
    <w:lvl w:ilvl="0" w:tplc="040C0001">
      <w:start w:val="1"/>
      <w:numFmt w:val="bullet"/>
      <w:lvlText w:val=""/>
      <w:lvlJc w:val="left"/>
      <w:pPr>
        <w:tabs>
          <w:tab w:val="num" w:pos="737"/>
        </w:tabs>
        <w:ind w:left="737" w:hanging="45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337E3"/>
    <w:multiLevelType w:val="hybridMultilevel"/>
    <w:tmpl w:val="DFC2C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20B1"/>
    <w:multiLevelType w:val="hybridMultilevel"/>
    <w:tmpl w:val="A31C0B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77FE8"/>
    <w:multiLevelType w:val="hybridMultilevel"/>
    <w:tmpl w:val="0A4EAE48"/>
    <w:lvl w:ilvl="0" w:tplc="9D1E13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34418"/>
    <w:multiLevelType w:val="hybridMultilevel"/>
    <w:tmpl w:val="243A3B42"/>
    <w:lvl w:ilvl="0" w:tplc="49AA5822">
      <w:start w:val="1"/>
      <w:numFmt w:val="bullet"/>
      <w:lvlText w:val="-"/>
      <w:lvlJc w:val="left"/>
      <w:pPr>
        <w:tabs>
          <w:tab w:val="num" w:pos="737"/>
        </w:tabs>
        <w:ind w:left="737" w:hanging="454"/>
      </w:pPr>
      <w:rPr>
        <w:rFonts w:ascii="Arial" w:hAnsi="Arial" w:hint="default"/>
      </w:rPr>
    </w:lvl>
    <w:lvl w:ilvl="1" w:tplc="FFFFFFFF">
      <w:start w:val="8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0714495"/>
    <w:multiLevelType w:val="hybridMultilevel"/>
    <w:tmpl w:val="A5460102"/>
    <w:lvl w:ilvl="0" w:tplc="49AA58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8020F"/>
    <w:multiLevelType w:val="hybridMultilevel"/>
    <w:tmpl w:val="5024F266"/>
    <w:lvl w:ilvl="0" w:tplc="040C000B">
      <w:start w:val="1"/>
      <w:numFmt w:val="bullet"/>
      <w:lvlText w:val=""/>
      <w:lvlJc w:val="left"/>
      <w:pPr>
        <w:ind w:left="10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8" w15:restartNumberingAfterBreak="0">
    <w:nsid w:val="32040F74"/>
    <w:multiLevelType w:val="multilevel"/>
    <w:tmpl w:val="A5BE18F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B6B4305"/>
    <w:multiLevelType w:val="hybridMultilevel"/>
    <w:tmpl w:val="920674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F729D"/>
    <w:multiLevelType w:val="hybridMultilevel"/>
    <w:tmpl w:val="0E60D0DA"/>
    <w:lvl w:ilvl="0" w:tplc="BD748CB8">
      <w:start w:val="1"/>
      <w:numFmt w:val="bullet"/>
      <w:pStyle w:val="Style1"/>
      <w:lvlText w:val=""/>
      <w:lvlJc w:val="left"/>
      <w:pPr>
        <w:tabs>
          <w:tab w:val="num" w:pos="737"/>
        </w:tabs>
        <w:ind w:left="737" w:hanging="454"/>
      </w:pPr>
      <w:rPr>
        <w:rFonts w:ascii="Wingdings" w:hAnsi="Wingdings" w:hint="default"/>
      </w:rPr>
    </w:lvl>
    <w:lvl w:ilvl="1" w:tplc="FFFFFFFF">
      <w:start w:val="8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11" w15:restartNumberingAfterBreak="0">
    <w:nsid w:val="608D4FBE"/>
    <w:multiLevelType w:val="hybridMultilevel"/>
    <w:tmpl w:val="6E90F4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C5016C"/>
    <w:multiLevelType w:val="hybridMultilevel"/>
    <w:tmpl w:val="7C0E947A"/>
    <w:lvl w:ilvl="0" w:tplc="A7B68446">
      <w:numFmt w:val="bullet"/>
      <w:lvlText w:val=""/>
      <w:lvlJc w:val="right"/>
      <w:pPr>
        <w:tabs>
          <w:tab w:val="num" w:pos="737"/>
        </w:tabs>
        <w:ind w:left="737" w:hanging="454"/>
      </w:pPr>
      <w:rPr>
        <w:rFonts w:ascii="Symbol" w:eastAsia="Calibri" w:hAnsi="Symbol" w:cs="Times New Roman" w:hint="default"/>
      </w:rPr>
    </w:lvl>
    <w:lvl w:ilvl="1" w:tplc="FFFFFFFF">
      <w:start w:val="8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1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7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ST Gwenaelle ICD">
    <w15:presenceInfo w15:providerId="None" w15:userId="MEST Gwenaelle ICD"/>
  </w15:person>
  <w15:person w15:author="DROGUET Mickaël">
    <w15:presenceInfo w15:providerId="None" w15:userId="DROGUET Mickaël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60B"/>
    <w:rsid w:val="00026D1A"/>
    <w:rsid w:val="001B7682"/>
    <w:rsid w:val="00293672"/>
    <w:rsid w:val="0035033A"/>
    <w:rsid w:val="0045338F"/>
    <w:rsid w:val="004D7E93"/>
    <w:rsid w:val="00863CDF"/>
    <w:rsid w:val="00865058"/>
    <w:rsid w:val="0088583F"/>
    <w:rsid w:val="0098702B"/>
    <w:rsid w:val="00A500B2"/>
    <w:rsid w:val="00C43031"/>
    <w:rsid w:val="00C8369C"/>
    <w:rsid w:val="00D22BF5"/>
    <w:rsid w:val="00D4389A"/>
    <w:rsid w:val="00DD33D4"/>
    <w:rsid w:val="00DE160B"/>
    <w:rsid w:val="00E811B1"/>
    <w:rsid w:val="00ED4D1E"/>
    <w:rsid w:val="00FE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EF90EC"/>
  <w15:chartTrackingRefBased/>
  <w15:docId w15:val="{196186F9-C96B-450E-A3FD-DD6AB392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60B"/>
  </w:style>
  <w:style w:type="paragraph" w:styleId="Titre1">
    <w:name w:val="heading 1"/>
    <w:basedOn w:val="Normal"/>
    <w:next w:val="Normal"/>
    <w:link w:val="Titre1Car"/>
    <w:uiPriority w:val="9"/>
    <w:qFormat/>
    <w:rsid w:val="00A500B2"/>
    <w:pPr>
      <w:spacing w:before="240" w:after="240" w:line="240" w:lineRule="auto"/>
      <w:jc w:val="center"/>
      <w:outlineLvl w:val="0"/>
    </w:pPr>
    <w:rPr>
      <w:rFonts w:ascii="Calibri" w:eastAsia="Times New Roman" w:hAnsi="Calibri" w:cstheme="minorHAnsi"/>
      <w:b/>
      <w:smallCaps/>
      <w:color w:val="2F5496" w:themeColor="accent5" w:themeShade="BF"/>
      <w:sz w:val="44"/>
      <w:szCs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DE160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160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yle1">
    <w:name w:val="Style1"/>
    <w:basedOn w:val="Normal"/>
    <w:link w:val="Style1Car"/>
    <w:qFormat/>
    <w:rsid w:val="00DE160B"/>
    <w:pPr>
      <w:numPr>
        <w:numId w:val="1"/>
      </w:numPr>
      <w:spacing w:before="60" w:after="0" w:line="240" w:lineRule="auto"/>
      <w:jc w:val="both"/>
    </w:pPr>
    <w:rPr>
      <w:rFonts w:ascii="Calibri" w:eastAsia="Times New Roman" w:hAnsi="Calibri" w:cs="Arial"/>
      <w:lang w:eastAsia="fr-FR"/>
    </w:rPr>
  </w:style>
  <w:style w:type="character" w:customStyle="1" w:styleId="Style1Car">
    <w:name w:val="Style1 Car"/>
    <w:link w:val="Style1"/>
    <w:rsid w:val="00DE160B"/>
    <w:rPr>
      <w:rFonts w:ascii="Calibri" w:eastAsia="Times New Roman" w:hAnsi="Calibri" w:cs="Arial"/>
      <w:lang w:eastAsia="fr-FR"/>
    </w:rPr>
  </w:style>
  <w:style w:type="paragraph" w:styleId="Paragraphedeliste">
    <w:name w:val="List Paragraph"/>
    <w:basedOn w:val="Normal"/>
    <w:uiPriority w:val="34"/>
    <w:qFormat/>
    <w:rsid w:val="00DE160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500B2"/>
    <w:rPr>
      <w:rFonts w:ascii="Calibri" w:eastAsia="Times New Roman" w:hAnsi="Calibri" w:cstheme="minorHAnsi"/>
      <w:b/>
      <w:smallCaps/>
      <w:color w:val="2F5496" w:themeColor="accent5" w:themeShade="BF"/>
      <w:sz w:val="44"/>
      <w:szCs w:val="44"/>
    </w:rPr>
  </w:style>
  <w:style w:type="table" w:styleId="Grilledutableau">
    <w:name w:val="Table Grid"/>
    <w:basedOn w:val="TableauNormal"/>
    <w:uiPriority w:val="39"/>
    <w:rsid w:val="00A50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811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11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11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11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11B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1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1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976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 Nicolas TSEF</dc:creator>
  <cp:keywords/>
  <dc:description/>
  <cp:lastModifiedBy>DROGUET Mickaël </cp:lastModifiedBy>
  <cp:revision>14</cp:revision>
  <dcterms:created xsi:type="dcterms:W3CDTF">2025-04-14T05:56:00Z</dcterms:created>
  <dcterms:modified xsi:type="dcterms:W3CDTF">2025-09-08T08:17:00Z</dcterms:modified>
</cp:coreProperties>
</file>